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/>
        <w:jc w:val="center"/>
      </w:pPr>
    </w:p>
    <w:tbl>
      <w:tblPr>
        <w:tblW w:w="100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94"/>
        <w:gridCol w:w="6254"/>
        <w:gridCol w:w="1992"/>
      </w:tblGrid>
      <w:tr>
        <w:tblPrEx>
          <w:shd w:val="clear" w:color="auto" w:fill="ced7e7"/>
        </w:tblPrEx>
        <w:trPr>
          <w:trHeight w:val="3860" w:hRule="atLeast"/>
        </w:trPr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Arial Black" w:cs="Arial Unicode MS" w:hAnsi="Arial Black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25"/>
                <w:kern w:val="0"/>
                <w:position w:val="0"/>
                <w:sz w:val="6"/>
                <w:szCs w:val="6"/>
                <w:u w:val="none" w:color="000000"/>
                <w:vertAlign w:val="baseline"/>
                <w:rtl w:val="0"/>
                <w:lang w:val="it-IT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Arial Black" w:cs="Arial Unicode MS" w:hAnsi="Arial Black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25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Arial Black" w:cs="Arial Unicode MS" w:hAnsi="Arial Black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25"/>
                <w:kern w:val="0"/>
                <w:position w:val="0"/>
                <w:sz w:val="32"/>
                <w:szCs w:val="32"/>
                <w:u w:val="none" w:color="000000"/>
                <w:vertAlign w:val="baseline"/>
                <w:lang w:val="it-IT"/>
              </w:rPr>
              <w:drawing>
                <wp:inline distT="0" distB="0" distL="0" distR="0">
                  <wp:extent cx="341101" cy="38222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01" cy="3822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it-IT"/>
              </w:rPr>
              <w:t>Ministero dell' Istruzione, dell'Universit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it-IT"/>
              </w:rPr>
              <w:t>e della Ricerca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1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1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it-IT"/>
              </w:rPr>
              <w:t>Ufficio Scolastico Regionale per il Lazio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10"/>
                <w:kern w:val="0"/>
                <w:position w:val="0"/>
                <w:sz w:val="4"/>
                <w:szCs w:val="4"/>
                <w:u w:val="none" w:color="000000"/>
                <w:vertAlign w:val="baseline"/>
                <w:rtl w:val="0"/>
                <w:lang w:val="it-IT"/>
              </w:rPr>
            </w:pPr>
          </w:p>
          <w:p>
            <w:pPr>
              <w:pStyle w:val="Default"/>
              <w:keepLines w:val="1"/>
              <w:widowControl w:val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6"/>
                <w:szCs w:val="6"/>
                <w:u w:color="00000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</w:rPr>
              <w:t xml:space="preserve">ISTITUTO COMPRENSIVO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rtl w:val="0"/>
                <w:lang w:val="it-IT"/>
              </w:rPr>
              <w:t>“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rtl w:val="0"/>
                <w:lang w:val="it-IT"/>
              </w:rPr>
              <w:t>CIVITELLA S. PAOLO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rtl w:val="0"/>
                <w:lang w:val="it-IT"/>
              </w:rPr>
              <w:t>”</w:t>
            </w:r>
          </w:p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6"/>
                <w:szCs w:val="6"/>
                <w:u w:color="000000"/>
                <w:rtl w:val="0"/>
                <w:lang w:val="it-IT"/>
              </w:rPr>
            </w:pPr>
          </w:p>
          <w:p>
            <w:pPr>
              <w:pStyle w:val="Default"/>
              <w:keepLines w:val="1"/>
              <w:widowControl w:val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18"/>
                <w:szCs w:val="18"/>
                <w:u w:color="00000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>dei plessi scolastici dei Comuni di Sant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Oreste - Civitella San Paolo 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Nazzano 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Ponzano 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Torrita Tiberina 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>Filacciano</w:t>
            </w:r>
          </w:p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</w:pPr>
          </w:p>
          <w:p>
            <w:pPr>
              <w:pStyle w:val="Default"/>
              <w:keepLines w:val="1"/>
              <w:widowControl w:val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18"/>
                <w:szCs w:val="18"/>
                <w:u w:color="000000"/>
              </w:rPr>
            </w:pPr>
            <w:r>
              <w:rPr>
                <w:rFonts w:ascii="Arial" w:hAnsi="Arial"/>
                <w:b w:val="0"/>
                <w:bCs w:val="0"/>
                <w:i w:val="1"/>
                <w:iCs w:val="1"/>
                <w:spacing w:val="10"/>
                <w:sz w:val="16"/>
                <w:szCs w:val="16"/>
                <w:u w:color="000000"/>
                <w:rtl w:val="0"/>
                <w:lang w:val="fr-FR"/>
              </w:rPr>
              <w:t>Ambito Territoriale 12 della Provincia di Roma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  <w:t xml:space="preserve"> </w:t>
            </w:r>
          </w:p>
          <w:p>
            <w:pPr>
              <w:pStyle w:val="Default"/>
              <w:keepLines w:val="1"/>
              <w:widowControl w:val="0"/>
              <w:jc w:val="center"/>
              <w:outlineLvl w:val="0"/>
              <w:rPr>
                <w:rFonts w:ascii="Arial" w:cs="Arial" w:hAnsi="Arial" w:eastAsia="Arial"/>
                <w:i w:val="1"/>
                <w:iCs w:val="1"/>
                <w:spacing w:val="10"/>
                <w:sz w:val="16"/>
                <w:szCs w:val="16"/>
                <w:u w:color="000000"/>
              </w:rPr>
            </w:pPr>
            <w:r>
              <w:rPr>
                <w:rFonts w:ascii="Arial" w:hAnsi="Arial"/>
                <w:i w:val="1"/>
                <w:iCs w:val="1"/>
                <w:spacing w:val="10"/>
                <w:sz w:val="16"/>
                <w:szCs w:val="16"/>
                <w:u w:color="000000"/>
                <w:rtl w:val="0"/>
                <w:lang w:val="fr-FR"/>
              </w:rPr>
              <w:t>Sede di Dirigenza e Segreteria</w:t>
            </w:r>
            <w:r>
              <w:rPr>
                <w:rFonts w:ascii="Arial" w:hAnsi="Arial" w:hint="default"/>
                <w:i w:val="1"/>
                <w:iCs w:val="1"/>
                <w:spacing w:val="10"/>
                <w:sz w:val="16"/>
                <w:szCs w:val="16"/>
                <w:u w:color="000000"/>
                <w:rtl w:val="0"/>
                <w:lang w:val="fr-FR"/>
              </w:rPr>
              <w:t> </w:t>
            </w:r>
            <w:r>
              <w:rPr>
                <w:rFonts w:ascii="Arial" w:hAnsi="Arial"/>
                <w:i w:val="1"/>
                <w:iCs w:val="1"/>
                <w:spacing w:val="10"/>
                <w:sz w:val="16"/>
                <w:szCs w:val="16"/>
                <w:u w:color="000000"/>
                <w:rtl w:val="0"/>
                <w:lang w:val="fr-FR"/>
              </w:rPr>
              <w:t xml:space="preserve">: Via Umberto I, 15 </w:t>
            </w:r>
            <w:r>
              <w:rPr>
                <w:rFonts w:ascii="Arial" w:hAnsi="Arial" w:hint="default"/>
                <w:i w:val="1"/>
                <w:iCs w:val="1"/>
                <w:spacing w:val="10"/>
                <w:sz w:val="16"/>
                <w:szCs w:val="16"/>
                <w:u w:color="000000"/>
                <w:rtl w:val="0"/>
                <w:lang w:val="fr-FR"/>
              </w:rPr>
              <w:t xml:space="preserve">– </w:t>
            </w:r>
            <w:r>
              <w:rPr>
                <w:rFonts w:ascii="Arial" w:hAnsi="Arial"/>
                <w:i w:val="1"/>
                <w:iCs w:val="1"/>
                <w:spacing w:val="10"/>
                <w:sz w:val="16"/>
                <w:szCs w:val="16"/>
                <w:u w:color="000000"/>
                <w:rtl w:val="0"/>
                <w:lang w:val="fr-FR"/>
              </w:rPr>
              <w:t>Civitella S. Paolo (RM)</w:t>
            </w:r>
          </w:p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it-IT"/>
              </w:rPr>
            </w:pPr>
          </w:p>
          <w:p>
            <w:pPr>
              <w:pStyle w:val="Default"/>
              <w:keepLines w:val="1"/>
              <w:widowControl w:val="0"/>
              <w:jc w:val="center"/>
              <w:outlineLvl w:val="0"/>
              <w:rPr>
                <w:rFonts w:ascii="Arial" w:cs="Arial" w:hAnsi="Arial" w:eastAsia="Arial"/>
                <w:i w:val="1"/>
                <w:iCs w:val="1"/>
                <w:spacing w:val="10"/>
                <w:sz w:val="16"/>
                <w:szCs w:val="16"/>
                <w:u w:color="00000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pacing w:val="0"/>
                <w:sz w:val="16"/>
                <w:szCs w:val="16"/>
                <w:u w:color="000000"/>
                <w:rtl w:val="0"/>
                <w:lang w:val="it-IT"/>
              </w:rPr>
              <w:t>(</w:t>
            </w:r>
            <w:r>
              <w:rPr>
                <w:rFonts w:ascii="Arial" w:hAnsi="Arial"/>
                <w:i w:val="1"/>
                <w:iCs w:val="1"/>
                <w:spacing w:val="0"/>
                <w:sz w:val="16"/>
                <w:szCs w:val="16"/>
                <w:u w:color="000000"/>
                <w:rtl w:val="0"/>
                <w:lang w:val="fr-FR"/>
              </w:rPr>
              <w:t xml:space="preserve"> 0765 335124 </w:t>
            </w:r>
            <w:r>
              <w:rPr>
                <w:rFonts w:ascii="Arial" w:hAnsi="Arial" w:hint="default"/>
                <w:i w:val="1"/>
                <w:iCs w:val="1"/>
                <w:spacing w:val="0"/>
                <w:sz w:val="16"/>
                <w:szCs w:val="16"/>
                <w:u w:color="000000"/>
                <w:rtl w:val="0"/>
                <w:lang w:val="fr-FR"/>
              </w:rPr>
              <w:t xml:space="preserve">– </w:t>
            </w:r>
            <w:r>
              <w:rPr>
                <w:rFonts w:ascii="Arial" w:hAnsi="Arial"/>
                <w:i w:val="1"/>
                <w:iCs w:val="1"/>
                <w:spacing w:val="0"/>
                <w:sz w:val="16"/>
                <w:szCs w:val="16"/>
                <w:u w:color="000000"/>
                <w:rtl w:val="0"/>
                <w:lang w:val="fr-FR"/>
              </w:rPr>
              <w:t>0765 335080</w:t>
            </w:r>
            <w:r>
              <w:rPr>
                <w:rFonts w:ascii="Arial" w:hAnsi="Arial"/>
                <w:i w:val="0"/>
                <w:iCs w:val="0"/>
                <w:spacing w:val="0"/>
                <w:sz w:val="16"/>
                <w:szCs w:val="16"/>
                <w:u w:color="000000"/>
                <w:rtl w:val="0"/>
                <w:lang w:val="fr-FR"/>
              </w:rPr>
              <w:t xml:space="preserve">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pacing w:val="0"/>
                <w:sz w:val="18"/>
                <w:szCs w:val="18"/>
                <w:u w:color="000000"/>
                <w:rtl w:val="0"/>
                <w:lang w:val="it-IT"/>
              </w:rPr>
              <w:t>7</w:t>
            </w:r>
            <w:r>
              <w:rPr>
                <w:rFonts w:ascii="Comic Sans MS" w:hAnsi="Comic Sans MS"/>
                <w:i w:val="0"/>
                <w:iCs w:val="0"/>
                <w:spacing w:val="0"/>
                <w:sz w:val="18"/>
                <w:szCs w:val="18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i w:val="1"/>
                <w:iCs w:val="1"/>
                <w:spacing w:val="0"/>
                <w:sz w:val="16"/>
                <w:szCs w:val="16"/>
                <w:u w:color="000000"/>
                <w:rtl w:val="0"/>
                <w:lang w:val="fr-FR"/>
              </w:rPr>
              <w:t>0765 330010</w:t>
            </w:r>
            <w:r>
              <w:rPr>
                <w:rFonts w:ascii="Arial" w:hAnsi="Arial"/>
                <w:i w:val="0"/>
                <w:iCs w:val="0"/>
                <w:spacing w:val="0"/>
                <w:sz w:val="16"/>
                <w:szCs w:val="16"/>
                <w:u w:color="000000"/>
                <w:rtl w:val="0"/>
                <w:lang w:val="fr-FR"/>
              </w:rPr>
              <w:t xml:space="preserve">  </w:t>
            </w:r>
          </w:p>
          <w:p>
            <w:pPr>
              <w:pStyle w:val="Default"/>
              <w:keepLines w:val="1"/>
              <w:widowControl w:val="0"/>
              <w:jc w:val="center"/>
              <w:outlineLvl w:val="0"/>
              <w:rPr>
                <w:rFonts w:ascii="Arial" w:cs="Arial" w:hAnsi="Arial" w:eastAsia="Arial"/>
                <w:i w:val="1"/>
                <w:iCs w:val="1"/>
                <w:spacing w:val="10"/>
                <w:sz w:val="16"/>
                <w:szCs w:val="16"/>
                <w:u w:color="000000"/>
              </w:rPr>
            </w:pPr>
            <w:r>
              <w:rPr>
                <w:rFonts w:ascii="Arial" w:hAnsi="Arial"/>
                <w:i w:val="0"/>
                <w:iCs w:val="0"/>
                <w:spacing w:val="10"/>
                <w:sz w:val="16"/>
                <w:szCs w:val="16"/>
                <w:u w:color="000000"/>
                <w:rtl w:val="0"/>
                <w:lang w:val="it-IT"/>
              </w:rPr>
              <w:t xml:space="preserve">Cod. Mecc. RMIC870006 - </w:t>
            </w:r>
            <w:r>
              <w:rPr>
                <w:rFonts w:ascii="Arial" w:hAnsi="Arial"/>
                <w:i w:val="1"/>
                <w:iCs w:val="1"/>
                <w:spacing w:val="10"/>
                <w:sz w:val="16"/>
                <w:szCs w:val="16"/>
                <w:u w:color="000000"/>
                <w:rtl w:val="0"/>
                <w:lang w:val="fr-FR"/>
              </w:rPr>
              <w:t>Codice fiscale 97201060585</w:t>
            </w:r>
          </w:p>
          <w:p>
            <w:pPr>
              <w:pStyle w:val="Default"/>
              <w:keepLines w:val="1"/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Arial" w:cs="Arial" w:hAnsi="Arial" w:eastAsia="Arial"/>
                <w:sz w:val="16"/>
                <w:szCs w:val="16"/>
                <w:u w:color="00000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16"/>
                <w:szCs w:val="16"/>
                <w:u w:color="000000"/>
                <w:rtl w:val="0"/>
                <w:lang w:val="it-IT"/>
              </w:rPr>
              <w:t>*</w:t>
            </w:r>
            <w:r>
              <w:rPr>
                <w:rFonts w:ascii="Arial" w:hAnsi="Arial"/>
                <w:i w:val="1"/>
                <w:iCs w:val="1"/>
                <w:sz w:val="16"/>
                <w:szCs w:val="16"/>
                <w:u w:color="000000"/>
                <w:rtl w:val="0"/>
                <w:lang w:val="fr-FR"/>
              </w:rPr>
              <w:t xml:space="preserve"> rmic870006@istruzione.it  -   rmic870006@pec.istruzione.it</w:t>
            </w:r>
          </w:p>
          <w:p>
            <w:pPr>
              <w:pStyle w:val="Default"/>
              <w:keepLines w:val="1"/>
              <w:widowControl w:val="0"/>
              <w:tabs>
                <w:tab w:val="center" w:pos="4819"/>
                <w:tab w:val="right" w:pos="9638"/>
              </w:tabs>
              <w:jc w:val="center"/>
            </w:pPr>
            <w:r>
              <w:rPr>
                <w:rFonts w:ascii="Arial" w:hAnsi="Arial"/>
                <w:i w:val="0"/>
                <w:iCs w:val="0"/>
                <w:spacing w:val="0"/>
                <w:sz w:val="16"/>
                <w:szCs w:val="16"/>
                <w:u w:color="000000"/>
                <w:rtl w:val="0"/>
                <w:lang w:val="en-US"/>
              </w:rPr>
              <w:t xml:space="preserve">Sito web: </w:t>
            </w:r>
            <w:r>
              <w:rPr>
                <w:rFonts w:ascii="Arial" w:hAnsi="Arial"/>
                <w:i w:val="1"/>
                <w:iCs w:val="1"/>
                <w:spacing w:val="0"/>
                <w:sz w:val="16"/>
                <w:szCs w:val="16"/>
                <w:u w:color="000000"/>
                <w:rtl w:val="0"/>
                <w:lang w:val="en-US"/>
              </w:rPr>
              <w:t>www.iccivitellasanpaolo.gov.it</w:t>
            </w:r>
            <w:r>
              <w:rPr>
                <w:rFonts w:ascii="Arial" w:cs="Arial" w:hAnsi="Arial" w:eastAsia="Arial"/>
                <w:i w:val="1"/>
                <w:iCs w:val="1"/>
                <w:spacing w:val="10"/>
                <w:sz w:val="14"/>
                <w:szCs w:val="14"/>
                <w:u w:color="000000"/>
              </w:rPr>
            </w:r>
          </w:p>
        </w:tc>
        <w:tc>
          <w:tcPr>
            <w:tcW w:type="dxa" w:w="1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left"/>
              <w:rPr>
                <w:rFonts w:ascii="Arial" w:cs="Arial" w:hAnsi="Arial" w:eastAsia="Arial"/>
                <w:spacing w:val="10"/>
                <w:sz w:val="6"/>
                <w:szCs w:val="6"/>
                <w:u w:color="000000"/>
                <w:rtl w:val="0"/>
                <w:lang w:val="en-US"/>
              </w:rPr>
            </w:pPr>
          </w:p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center"/>
              <w:outlineLvl w:val="0"/>
              <w:rPr>
                <w:rFonts w:ascii="Arial" w:cs="Arial" w:hAnsi="Arial" w:eastAsia="Arial"/>
                <w:spacing w:val="10"/>
                <w:sz w:val="6"/>
                <w:szCs w:val="6"/>
                <w:u w:color="000000"/>
                <w:rtl w:val="0"/>
                <w:lang w:val="en-US"/>
              </w:rPr>
            </w:pPr>
          </w:p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left"/>
              <w:rPr>
                <w:rFonts w:ascii="Arial" w:cs="Arial" w:hAnsi="Arial" w:eastAsia="Arial"/>
                <w:sz w:val="6"/>
                <w:szCs w:val="6"/>
                <w:u w:color="000000"/>
                <w:rtl w:val="0"/>
                <w:lang w:val="en-US"/>
              </w:rPr>
            </w:pPr>
          </w:p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left"/>
              <w:rPr>
                <w:rFonts w:ascii="Arial" w:cs="Arial" w:hAnsi="Arial" w:eastAsia="Arial"/>
                <w:sz w:val="6"/>
                <w:szCs w:val="6"/>
                <w:u w:color="000000"/>
                <w:rtl w:val="0"/>
                <w:lang w:val="en-US"/>
              </w:rPr>
            </w:pPr>
          </w:p>
          <w:p>
            <w:pPr>
              <w:pStyle w:val="Default"/>
              <w:keepLines w:val="1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6"/>
                <w:szCs w:val="6"/>
                <w:u w:color="000000"/>
                <w:rtl w:val="0"/>
                <w:lang w:val="en-US"/>
              </w:rPr>
            </w:r>
          </w:p>
        </w:tc>
      </w:tr>
    </w:tbl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SCHEDA RILEVAZIONE BES*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>dei Consigli di classe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>Area dello svantaggio scolastico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Direttiva Ministeriale 27 dicembre 2012, Circolare Ministeriale n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°</w:t>
      </w:r>
      <w:r>
        <w:rPr>
          <w:rFonts w:ascii="Times New Roman" w:hAnsi="Times New Roman"/>
          <w:sz w:val="26"/>
          <w:szCs w:val="26"/>
          <w:rtl w:val="0"/>
          <w:lang w:val="it-IT"/>
        </w:rPr>
        <w:t>8, del 6 marzo 2013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Sezione</w:t>
      </w:r>
      <w:r>
        <w:rPr>
          <w:rFonts w:ascii="Times New Roman" w:hAnsi="Times New Roman"/>
          <w:sz w:val="26"/>
          <w:szCs w:val="26"/>
          <w:rtl w:val="0"/>
          <w:lang w:val="it-IT"/>
        </w:rPr>
        <w:t>...........................................................................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Coordinatore......................................................................</w:t>
      </w:r>
    </w:p>
    <w:p>
      <w:pPr>
        <w:pStyle w:val="Normal (Web)"/>
        <w:spacing w:before="0" w:after="0"/>
        <w:jc w:val="both"/>
      </w:pPr>
      <w:r>
        <w:rPr>
          <w:rtl w:val="0"/>
          <w:lang w:val="it-IT"/>
        </w:rPr>
        <w:t xml:space="preserve">Nella </w:t>
      </w:r>
      <w:r>
        <w:rPr>
          <w:b w:val="1"/>
          <w:bCs w:val="1"/>
          <w:rtl w:val="0"/>
          <w:lang w:val="it-IT"/>
        </w:rPr>
        <w:t>direttiva del 27 Dicembre 2012</w:t>
      </w:r>
      <w:r>
        <w:rPr>
          <w:rtl w:val="0"/>
          <w:lang w:val="it-IT"/>
        </w:rPr>
        <w:t xml:space="preserve"> si legge: </w:t>
      </w:r>
      <w:r>
        <w:rPr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>In ogni classe ci sono alunni che presentano una richiesta di speciale attenzione per una variet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di ragioni: svantaggio sociale e culturale, disturbi specifici di apprendimento e/o disturbi evolutivi specifici, difficolt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derivanti dalla non conoscenza della cultura e della lingua</w:t>
      </w:r>
      <w:r>
        <w:rPr>
          <w:i w:val="1"/>
          <w:iCs w:val="1"/>
          <w:rtl w:val="0"/>
          <w:lang w:val="it-IT"/>
        </w:rPr>
        <w:t>”</w:t>
      </w:r>
      <w:r>
        <w:rPr>
          <w:rtl w:val="0"/>
          <w:lang w:val="it-IT"/>
        </w:rPr>
        <w:t xml:space="preserve"> e si deduce che</w:t>
      </w:r>
      <w:r>
        <w:rPr>
          <w:i w:val="1"/>
          <w:iCs w:val="1"/>
          <w:rtl w:val="0"/>
          <w:lang w:val="it-IT"/>
        </w:rPr>
        <w:t> “</w:t>
      </w:r>
      <w:r>
        <w:rPr>
          <w:i w:val="1"/>
          <w:iCs w:val="1"/>
          <w:rtl w:val="0"/>
          <w:lang w:val="it-IT"/>
        </w:rPr>
        <w:t>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 xml:space="preserve">area dello svantaggio scolastico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molto 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ampia di quella riferibile esplicitamente alla presenza di deficit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Normal (Web)"/>
        <w:spacing w:before="0" w:after="0"/>
        <w:jc w:val="both"/>
      </w:pPr>
      <w:r>
        <w:rPr>
          <w:rtl w:val="0"/>
          <w:lang w:val="it-IT"/>
        </w:rPr>
        <w:t xml:space="preserve">La direttiva ministeriale aggiunge, inoltre, che </w:t>
      </w:r>
      <w:r>
        <w:rPr>
          <w:i w:val="1"/>
          <w:iCs w:val="1"/>
          <w:rtl w:val="0"/>
          <w:lang w:val="it-IT"/>
        </w:rPr>
        <w:t xml:space="preserve">“…è </w:t>
      </w:r>
      <w:r>
        <w:rPr>
          <w:i w:val="1"/>
          <w:iCs w:val="1"/>
          <w:rtl w:val="0"/>
          <w:lang w:val="it-IT"/>
        </w:rPr>
        <w:t>sempre 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 xml:space="preserve">urgente adottare una didattica che sia </w:t>
      </w:r>
      <w:r>
        <w:rPr>
          <w:i w:val="1"/>
          <w:iCs w:val="1"/>
          <w:rtl w:val="0"/>
          <w:lang w:val="it-IT"/>
        </w:rPr>
        <w:t>‘</w:t>
      </w:r>
      <w:r>
        <w:rPr>
          <w:i w:val="1"/>
          <w:iCs w:val="1"/>
          <w:rtl w:val="0"/>
          <w:lang w:val="it-IT"/>
        </w:rPr>
        <w:t>denominatore comune</w:t>
      </w:r>
      <w:r>
        <w:rPr>
          <w:i w:val="1"/>
          <w:iCs w:val="1"/>
          <w:rtl w:val="0"/>
          <w:lang w:val="it-IT"/>
        </w:rPr>
        <w:t xml:space="preserve">’ </w:t>
      </w:r>
      <w:r>
        <w:rPr>
          <w:i w:val="1"/>
          <w:iCs w:val="1"/>
          <w:rtl w:val="0"/>
          <w:lang w:val="it-IT"/>
        </w:rPr>
        <w:t>per tutti gli alunni e che non lasci indietro nessuno: una didattica inclusiva 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che una didattica speciale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Secondo la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C.M. n. 8 del 6 marzo 2013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Fermo restando l'obbligo di presentazione delle certificazioni per l'esercizio dei diritti conseguenti alle situazioni di disabilit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e di DSA,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compito doveroso dei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Consigli di classe indicare in quali altri casi sia opportuna e necessaria l'adozione di una personalizzazione della didattica ed eventualmente di misure compensative o dispensative,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nella prospettiva di una presa in carico globale ed inclusiva di tutti gli alunni.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Strumento privilegiato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il percorso individualizzato e personalizzato, redatto in un Piano Didattico Personalizzato (PDP), che ha lo scopo di definire, monitorare e documentare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secondo un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elaborazione collegiale, corresponsabile e partecipata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- le strategie di intervento 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idonee e i criteri di valutazione degli apprendimenti.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In questa nuova e pi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ampia ottica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il Piano Didattico Personalizzato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 non pu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essere inteso come mera esplicitazione di strumenti compensativi e dispensativi per gli alunni con DSA; esso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 bens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ì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lo strumento in cui si potranno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, ad esempio,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includere progettazioni didattico-educative calibrate sui livelli minimi attesi per le competenze in uscita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 (di cui moltissimi alunni con BES, privi di qualsivoglia certificazione diagnostica, abbisognano), strumenti programmatici utili in maggior misura rispetto a compensazioni o dispense, a carattere squisitamente didattico-strumentale.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Tale direttiva ben chiarisce come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la presa in carico dei BES debba essere al centro dell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attenzione e dello sforzo congiunto della scuola e della famiglia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necessario che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attivazione di un percorso individualizzato e personalizzato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per un alunno con Bisogni Educativi Speciali sia deliberata in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Consiglio di classe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dando luogo al PDP, firmato dal Dirigente scolastico (o da un docente da questi specificamente delegato), dai docenti e dalla famiglia. Nel caso in cui sia necessario trattare dati sensibili per finalit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istituzionali, si avr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cura di includere nel PDP apposita autorizzazione da parte della famiglia.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Ove non sia presente certificazione clinica o diagnosi, il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Consiglio di classe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motiver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opportunamente,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verbalizzandole,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le decisioni assunte sulla base di considerazioni pedagogiche e didattiche; 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al fine di evitare contenzioso.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”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Normativa di riferimento: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tl w:val="0"/>
        </w:rPr>
        <w:t>BES -certificazione medica (L.104/1992)</w:t>
      </w:r>
    </w:p>
    <w:p>
      <w:pPr>
        <w:pStyle w:val="Normal.0"/>
      </w:pPr>
      <w:r>
        <w:rPr>
          <w:rtl w:val="0"/>
        </w:rPr>
        <w:t>BES-disturbi dell</w:t>
      </w:r>
      <w:r>
        <w:rPr>
          <w:rtl w:val="0"/>
        </w:rPr>
        <w:t>’</w:t>
      </w:r>
      <w:r>
        <w:rPr>
          <w:rtl w:val="0"/>
        </w:rPr>
        <w:t>apprendimento (L.170/2010 e LINEE GUIDA)</w:t>
      </w:r>
    </w:p>
    <w:p>
      <w:pPr>
        <w:pStyle w:val="Normal.0"/>
      </w:pPr>
      <w:r>
        <w:rPr>
          <w:rtl w:val="0"/>
        </w:rPr>
        <w:t>BES-sindrome ADHD (nota min.6013/2009)</w:t>
      </w:r>
    </w:p>
    <w:p>
      <w:pPr>
        <w:pStyle w:val="Normal.0"/>
      </w:pPr>
      <w:r>
        <w:rPr>
          <w:rtl w:val="0"/>
        </w:rPr>
        <w:t>BES -svantaggio culturale (Linee guida stranieri 2006)</w:t>
      </w:r>
    </w:p>
    <w:p>
      <w:pPr>
        <w:pStyle w:val="Normal.0"/>
      </w:pPr>
      <w:r>
        <w:rPr>
          <w:rtl w:val="0"/>
        </w:rPr>
        <w:t>BES-famiglie in difficolt</w:t>
      </w:r>
      <w:r>
        <w:rPr>
          <w:rtl w:val="0"/>
        </w:rPr>
        <w:t>à</w:t>
      </w:r>
      <w:r>
        <w:rPr>
          <w:rtl w:val="0"/>
        </w:rPr>
        <w:t>, alunni in ospedale, istruzione domiciliare (L.285/1997,CM353/1998)</w:t>
      </w:r>
    </w:p>
    <w:p>
      <w:pPr>
        <w:pStyle w:val="Normal.0"/>
        <w:spacing w:after="0" w:line="240" w:lineRule="auto"/>
      </w:pPr>
      <w:r>
        <w:rPr>
          <w:rtl w:val="0"/>
          <w:lang w:val="it-IT"/>
        </w:rPr>
        <w:t>BES Direttiva 27/12/2012 , CM 8/2013 e nota 1551/2013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SCHEDA RILEVAZIONE STUDENTI CON BISOGNI EDUCATIVI SPECIALI (BES C.M. N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°</w:t>
      </w:r>
      <w:r>
        <w:rPr>
          <w:rFonts w:ascii="Times New Roman" w:hAnsi="Times New Roman"/>
          <w:b w:val="1"/>
          <w:bCs w:val="1"/>
          <w:rtl w:val="0"/>
          <w:lang w:val="it-IT"/>
        </w:rPr>
        <w:t>8/2013)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Sezione</w:t>
      </w:r>
      <w:r>
        <w:rPr>
          <w:rFonts w:ascii="Times New Roman" w:hAnsi="Times New Roman"/>
          <w:b w:val="1"/>
          <w:bCs w:val="1"/>
          <w:rtl w:val="0"/>
          <w:lang w:val="it-IT"/>
        </w:rPr>
        <w:t>:__________________</w:t>
      </w:r>
    </w:p>
    <w:tbl>
      <w:tblPr>
        <w:tblW w:w="1442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3826"/>
        <w:gridCol w:w="3684"/>
        <w:gridCol w:w="2415"/>
        <w:gridCol w:w="2265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Area BES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Individuazione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Tipologia</w:t>
            </w:r>
          </w:p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Nomi allievi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Osservazioni</w:t>
            </w:r>
          </w:p>
        </w:tc>
      </w:tr>
      <w:tr>
        <w:tblPrEx>
          <w:shd w:val="clear" w:color="auto" w:fill="ced7e7"/>
        </w:tblPrEx>
        <w:trPr>
          <w:trHeight w:val="1238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Disabilit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it-IT"/>
              </w:rPr>
              <w:t>à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  <w:lang w:val="it-IT"/>
              </w:rPr>
              <w:t xml:space="preserve">Legge 104/92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  <w:lang w:val="it-IT"/>
              </w:rPr>
              <w:t>art. 3, commi 1 e 3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it-IT"/>
              </w:rPr>
              <w:t>(docente di sostegno)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it-IT"/>
              </w:rPr>
              <w:t>Certificazione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Psicofisico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Sensoriale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Motorio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Autismo</w:t>
            </w:r>
          </w:p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38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 xml:space="preserve">Disturbi Evolutivi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 xml:space="preserve">Specifici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DSA</w:t>
            </w:r>
            <w:r>
              <w:rPr>
                <w:rFonts w:ascii="Times New Roman" w:hAnsi="Times New Roman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it-IT"/>
              </w:rPr>
              <w:t>Legge 170/2010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it-IT"/>
              </w:rPr>
              <w:t>Documentata con diagnosi clinica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Dislessia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Disgrafia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Disortografia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Discalculia</w:t>
            </w:r>
          </w:p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95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Disturbi Evolutivi Specifici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Altra tipologia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rtl w:val="0"/>
                <w:lang w:val="it-IT"/>
              </w:rPr>
              <w:t>Documentata con diagnosi clinica e considerazioni pedagogiche e didattiche verbalizzate dal CdC.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Disturbi specifici linguaggio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Disturbo della coordinazione motoria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Disprassia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Disturbo non verbale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Disturbo dello spettro autistico lieve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A.D.H.D Disturbo Attenzione e Iperattivit</w:t>
            </w:r>
            <w:r>
              <w:rPr>
                <w:rFonts w:ascii="Times New Roman" w:hAnsi="Times New Roman" w:hint="default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rtl w:val="0"/>
                <w:lang w:val="it-IT"/>
              </w:rPr>
              <w:t>di tipo lieve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Funzionamento cognitivo limite (bordeline cognitivo)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DOP (Oppositivo-provocatorio)</w:t>
            </w:r>
          </w:p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39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Svantaggio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Socio-economico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 xml:space="preserve">Segnalazione sulla base di elementi oggettivi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  <w:lang w:val="it-IT"/>
              </w:rPr>
              <w:t>(es: segnalazione dei servizi sociali)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Considerazioni pedagogiche e didattiche verbalizzate dal CdC.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Diff. psico-sociali</w:t>
            </w:r>
          </w:p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Svantaggio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Linguistico e culturale (stranieri non alfabetizzati)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it-IT"/>
              </w:rPr>
              <w:t>Considerazioni pedagogiche e didattiche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Recente immigrazione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(mesi/1anno)</w:t>
            </w:r>
          </w:p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Difficolt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di linguaggio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rtl w:val="0"/>
                <w:lang w:val="it-IT"/>
              </w:rPr>
              <w:t>Considerazioni pedagogiche e didattiche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78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Altre Difficolt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it-IT"/>
              </w:rPr>
              <w:t>à</w:t>
            </w:r>
          </w:p>
        </w:tc>
        <w:tc>
          <w:tcPr>
            <w:tcW w:type="dxa" w:w="3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Transitorie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Malattie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Traumi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Dipendenze</w:t>
            </w:r>
            <w:r>
              <w:rPr>
                <w:rFonts w:ascii="Times New Roman" w:hAnsi="Times New Roman" w:hint="default"/>
                <w:rtl w:val="0"/>
                <w:lang w:val="it-IT"/>
              </w:rPr>
              <w:t>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it-IT"/>
              </w:rPr>
              <w:t></w:t>
            </w:r>
            <w:r>
              <w:rPr>
                <w:rFonts w:ascii="Times New Roman" w:hAnsi="Times New Roman"/>
                <w:rtl w:val="0"/>
                <w:lang w:val="it-IT"/>
              </w:rPr>
              <w:t>Disagio comportamentale/relazionale</w:t>
            </w:r>
          </w:p>
        </w:tc>
        <w:tc>
          <w:tcPr>
            <w:tcW w:type="dxa" w:w="2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rtl w:val="0"/>
          <w:lang w:val="it-IT"/>
        </w:rPr>
        <w:t xml:space="preserve">Data, </w:t>
      </w:r>
      <w:r>
        <w:rPr>
          <w:rFonts w:ascii="Times New Roman" w:hAnsi="Times New Roman" w:hint="default"/>
          <w:rtl w:val="0"/>
          <w:lang w:val="it-IT"/>
        </w:rPr>
        <w:t xml:space="preserve">…………………… </w:t>
      </w:r>
    </w:p>
    <w:p>
      <w:pPr>
        <w:pStyle w:val="Normal.0"/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  <w:rtl w:val="0"/>
          <w:lang w:val="it-IT"/>
        </w:rPr>
        <w:t>Firma</w:t>
      </w:r>
    </w:p>
    <w:sectPr>
      <w:headerReference w:type="default" r:id="rId5"/>
      <w:footerReference w:type="default" r:id="rId6"/>
      <w:pgSz w:w="15840" w:h="12240" w:orient="landscape"/>
      <w:pgMar w:top="851" w:right="1134" w:bottom="28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Wingdings">
    <w:charset w:val="00"/>
    <w:family w:val="roman"/>
    <w:pitch w:val="default"/>
  </w:font>
  <w:font w:name="Wingdings 2">
    <w:charset w:val="00"/>
    <w:family w:val="roman"/>
    <w:pitch w:val="default"/>
  </w:font>
  <w:font w:name="Comic Sans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